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1C" w:rsidRDefault="00AA2E1C" w:rsidP="00AA2E1C">
      <w:pPr>
        <w:spacing w:before="137" w:line="360" w:lineRule="auto"/>
        <w:jc w:val="center"/>
        <w:rPr>
          <w:rFonts w:ascii="仿宋" w:eastAsia="仿宋" w:hAnsi="仿宋" w:cs="宋体"/>
          <w:sz w:val="30"/>
          <w:szCs w:val="30"/>
        </w:rPr>
      </w:pPr>
      <w:bookmarkStart w:id="0" w:name="_Hlk143445733"/>
      <w:r>
        <w:rPr>
          <w:rFonts w:ascii="仿宋" w:eastAsia="仿宋" w:hAnsi="仿宋" w:cs="宋体" w:hint="eastAsia"/>
          <w:spacing w:val="2"/>
          <w:sz w:val="30"/>
          <w:szCs w:val="30"/>
        </w:rPr>
        <w:t>海洋科学与生态环境学院研究生学术</w:t>
      </w:r>
      <w:r>
        <w:rPr>
          <w:rFonts w:ascii="仿宋" w:eastAsia="仿宋" w:hAnsi="仿宋" w:cs="宋体"/>
          <w:spacing w:val="1"/>
          <w:sz w:val="30"/>
          <w:szCs w:val="30"/>
        </w:rPr>
        <w:t>学位论文评阅书</w:t>
      </w:r>
    </w:p>
    <w:tbl>
      <w:tblPr>
        <w:tblStyle w:val="TableNormal1"/>
        <w:tblW w:w="4999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670"/>
        <w:gridCol w:w="2449"/>
        <w:gridCol w:w="1281"/>
        <w:gridCol w:w="1707"/>
        <w:gridCol w:w="1213"/>
      </w:tblGrid>
      <w:tr w:rsidR="00AA2E1C" w:rsidTr="00A44AAA">
        <w:trPr>
          <w:trHeight w:val="588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AA2E1C" w:rsidRDefault="00AA2E1C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/>
                <w:spacing w:val="-5"/>
                <w:sz w:val="24"/>
              </w:rPr>
              <w:t>论</w:t>
            </w:r>
            <w:r>
              <w:rPr>
                <w:rFonts w:ascii="仿宋" w:eastAsia="仿宋" w:hAnsi="仿宋" w:cs="宋体"/>
                <w:spacing w:val="-3"/>
                <w:sz w:val="24"/>
              </w:rPr>
              <w:t>文题目</w:t>
            </w:r>
          </w:p>
        </w:tc>
        <w:tc>
          <w:tcPr>
            <w:tcW w:w="399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609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学位点名称</w:t>
            </w:r>
          </w:p>
        </w:tc>
        <w:tc>
          <w:tcPr>
            <w:tcW w:w="1472" w:type="pct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  <w:tc>
          <w:tcPr>
            <w:tcW w:w="77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研究方向</w:t>
            </w:r>
          </w:p>
        </w:tc>
        <w:tc>
          <w:tcPr>
            <w:tcW w:w="1755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615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姓名、学号</w:t>
            </w:r>
          </w:p>
        </w:tc>
        <w:tc>
          <w:tcPr>
            <w:tcW w:w="399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406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before="20" w:line="219" w:lineRule="auto"/>
              <w:ind w:left="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评</w:t>
            </w:r>
            <w:r>
              <w:rPr>
                <w:rFonts w:ascii="仿宋" w:eastAsia="仿宋" w:hAnsi="仿宋" w:cs="宋体"/>
                <w:spacing w:val="-3"/>
                <w:sz w:val="24"/>
              </w:rPr>
              <w:t>议</w:t>
            </w:r>
            <w:r>
              <w:rPr>
                <w:rFonts w:ascii="仿宋" w:eastAsia="仿宋" w:hAnsi="仿宋" w:cs="宋体"/>
                <w:spacing w:val="-2"/>
                <w:sz w:val="24"/>
              </w:rPr>
              <w:t>项目</w:t>
            </w:r>
          </w:p>
        </w:tc>
        <w:tc>
          <w:tcPr>
            <w:tcW w:w="3268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before="20" w:line="217" w:lineRule="auto"/>
              <w:ind w:left="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评</w:t>
            </w:r>
            <w:r>
              <w:rPr>
                <w:rFonts w:ascii="仿宋" w:eastAsia="仿宋" w:hAnsi="仿宋" w:cs="宋体"/>
                <w:spacing w:val="-3"/>
                <w:sz w:val="24"/>
              </w:rPr>
              <w:t>价</w:t>
            </w:r>
            <w:r>
              <w:rPr>
                <w:rFonts w:ascii="仿宋" w:eastAsia="仿宋" w:hAnsi="仿宋" w:cs="宋体"/>
                <w:spacing w:val="-2"/>
                <w:sz w:val="24"/>
              </w:rPr>
              <w:t>要素</w:t>
            </w:r>
          </w:p>
        </w:tc>
        <w:tc>
          <w:tcPr>
            <w:tcW w:w="72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before="19" w:line="219" w:lineRule="auto"/>
              <w:ind w:left="20"/>
              <w:jc w:val="center"/>
              <w:rPr>
                <w:rFonts w:ascii="仿宋" w:eastAsia="仿宋" w:hAnsi="仿宋" w:cs="宋体"/>
                <w:spacing w:val="-8"/>
                <w:sz w:val="24"/>
              </w:rPr>
            </w:pPr>
            <w:r>
              <w:rPr>
                <w:rFonts w:ascii="仿宋" w:eastAsia="仿宋" w:hAnsi="仿宋" w:cs="宋体"/>
                <w:spacing w:val="-8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spacing w:val="-8"/>
                <w:sz w:val="24"/>
              </w:rPr>
              <w:t>数</w:t>
            </w:r>
          </w:p>
          <w:p w:rsidR="00AA2E1C" w:rsidRDefault="00AA2E1C" w:rsidP="00A44AAA">
            <w:pPr>
              <w:spacing w:before="19" w:line="219" w:lineRule="auto"/>
              <w:ind w:left="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pacing w:val="-8"/>
                <w:sz w:val="24"/>
              </w:rPr>
              <w:t>（百分制）</w:t>
            </w:r>
          </w:p>
        </w:tc>
      </w:tr>
      <w:tr w:rsidR="00AA2E1C" w:rsidTr="00A44AAA">
        <w:trPr>
          <w:trHeight w:val="957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3"/>
                <w:sz w:val="24"/>
              </w:rPr>
              <w:t>选</w:t>
            </w:r>
            <w:r>
              <w:rPr>
                <w:rFonts w:ascii="仿宋" w:eastAsia="仿宋" w:hAnsi="仿宋" w:cs="宋体"/>
                <w:spacing w:val="-2"/>
                <w:sz w:val="24"/>
              </w:rPr>
              <w:t>题与综述</w:t>
            </w:r>
          </w:p>
          <w:p w:rsidR="00AA2E1C" w:rsidRDefault="00AA2E1C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（1</w:t>
            </w:r>
            <w:r>
              <w:rPr>
                <w:rFonts w:ascii="仿宋" w:eastAsia="仿宋" w:hAnsi="仿宋"/>
                <w:szCs w:val="20"/>
              </w:rPr>
              <w:t>00</w:t>
            </w:r>
            <w:r>
              <w:rPr>
                <w:rFonts w:ascii="仿宋" w:eastAsia="仿宋" w:hAnsi="仿宋" w:hint="eastAsia"/>
                <w:szCs w:val="20"/>
              </w:rPr>
              <w:t>分）</w:t>
            </w:r>
          </w:p>
        </w:tc>
        <w:tc>
          <w:tcPr>
            <w:tcW w:w="3268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97" w:lineRule="auto"/>
              <w:ind w:left="20" w:right="20" w:hanging="1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研究的理论意义、实</w:t>
            </w:r>
            <w:r>
              <w:rPr>
                <w:rFonts w:ascii="仿宋" w:eastAsia="仿宋" w:hAnsi="仿宋" w:cs="宋体"/>
                <w:sz w:val="24"/>
              </w:rPr>
              <w:t>用价值；对本学科及相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关学科领域国内外发展状</w:t>
            </w:r>
            <w:r>
              <w:rPr>
                <w:rFonts w:ascii="仿宋" w:eastAsia="仿宋" w:hAnsi="仿宋" w:cs="宋体"/>
                <w:sz w:val="24"/>
              </w:rPr>
              <w:t>况和学术动态的了</w:t>
            </w:r>
            <w:r>
              <w:rPr>
                <w:rFonts w:ascii="仿宋" w:eastAsia="仿宋" w:hAnsi="仿宋" w:cs="宋体"/>
                <w:spacing w:val="-5"/>
                <w:sz w:val="24"/>
              </w:rPr>
              <w:t>解</w:t>
            </w:r>
            <w:r>
              <w:rPr>
                <w:rFonts w:ascii="仿宋" w:eastAsia="仿宋" w:hAnsi="仿宋" w:cs="宋体"/>
                <w:spacing w:val="-3"/>
                <w:sz w:val="24"/>
              </w:rPr>
              <w:t>程度</w:t>
            </w:r>
            <w:r>
              <w:rPr>
                <w:rFonts w:ascii="仿宋" w:eastAsia="仿宋" w:hAnsi="仿宋" w:cs="宋体" w:hint="eastAsia"/>
                <w:spacing w:val="-3"/>
                <w:sz w:val="24"/>
              </w:rPr>
              <w:t>。</w:t>
            </w:r>
          </w:p>
        </w:tc>
        <w:tc>
          <w:tcPr>
            <w:tcW w:w="729" w:type="pct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1281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54" w:lineRule="auto"/>
              <w:ind w:left="739" w:right="20" w:hanging="719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2"/>
                <w:sz w:val="24"/>
              </w:rPr>
              <w:t>创新性及论</w:t>
            </w:r>
            <w:r>
              <w:rPr>
                <w:rFonts w:ascii="仿宋" w:eastAsia="仿宋" w:hAnsi="仿宋" w:cs="宋体"/>
                <w:spacing w:val="-1"/>
                <w:sz w:val="24"/>
              </w:rPr>
              <w:t>文</w:t>
            </w:r>
          </w:p>
          <w:p w:rsidR="00AA2E1C" w:rsidRDefault="00AA2E1C" w:rsidP="00A44AAA">
            <w:pPr>
              <w:spacing w:line="254" w:lineRule="auto"/>
              <w:ind w:left="739" w:right="20" w:hanging="719"/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价</w:t>
            </w:r>
            <w:r>
              <w:rPr>
                <w:rFonts w:ascii="仿宋" w:eastAsia="仿宋" w:hAnsi="仿宋" w:cs="宋体"/>
                <w:sz w:val="24"/>
              </w:rPr>
              <w:t xml:space="preserve"> 值</w:t>
            </w:r>
            <w:r>
              <w:rPr>
                <w:rFonts w:ascii="仿宋" w:eastAsia="仿宋" w:hAnsi="仿宋" w:cs="宋体" w:hint="eastAsia"/>
                <w:szCs w:val="20"/>
              </w:rPr>
              <w:t>（</w:t>
            </w:r>
            <w:r>
              <w:rPr>
                <w:rFonts w:ascii="仿宋" w:eastAsia="仿宋" w:hAnsi="仿宋" w:cs="宋体"/>
                <w:szCs w:val="20"/>
              </w:rPr>
              <w:t>100分</w:t>
            </w:r>
            <w:r>
              <w:rPr>
                <w:rFonts w:ascii="仿宋" w:eastAsia="仿宋" w:hAnsi="仿宋" w:cs="宋体" w:hint="eastAsia"/>
                <w:szCs w:val="20"/>
              </w:rPr>
              <w:t>）</w:t>
            </w:r>
          </w:p>
        </w:tc>
        <w:tc>
          <w:tcPr>
            <w:tcW w:w="3268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97" w:lineRule="auto"/>
              <w:ind w:left="24" w:right="2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论文提出的新见解、新方法所具</w:t>
            </w:r>
            <w:r>
              <w:rPr>
                <w:rFonts w:ascii="仿宋" w:eastAsia="仿宋" w:hAnsi="仿宋" w:cs="宋体"/>
                <w:sz w:val="24"/>
              </w:rPr>
              <w:t>有的价值；</w:t>
            </w:r>
            <w:r>
              <w:rPr>
                <w:rFonts w:ascii="仿宋" w:eastAsia="仿宋" w:hAnsi="仿宋" w:cs="宋体"/>
                <w:spacing w:val="-1"/>
                <w:sz w:val="24"/>
              </w:rPr>
              <w:t>论文成果对技术进步、经济建设</w:t>
            </w:r>
            <w:r>
              <w:rPr>
                <w:rFonts w:ascii="仿宋" w:eastAsia="仿宋" w:hAnsi="仿宋" w:cs="宋体"/>
                <w:sz w:val="24"/>
              </w:rPr>
              <w:t>、国家安全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等方面</w:t>
            </w:r>
            <w:r>
              <w:rPr>
                <w:rFonts w:ascii="仿宋" w:eastAsia="仿宋" w:hAnsi="仿宋" w:cs="宋体"/>
                <w:spacing w:val="-1"/>
                <w:sz w:val="24"/>
              </w:rPr>
              <w:t>产生的影响或作用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。</w:t>
            </w:r>
          </w:p>
        </w:tc>
        <w:tc>
          <w:tcPr>
            <w:tcW w:w="729" w:type="pct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1400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54" w:lineRule="auto"/>
              <w:ind w:left="630" w:right="20" w:hanging="611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2"/>
                <w:sz w:val="24"/>
              </w:rPr>
              <w:t>基础知识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和</w:t>
            </w:r>
          </w:p>
          <w:p w:rsidR="00AA2E1C" w:rsidRDefault="00AA2E1C" w:rsidP="00A44AAA">
            <w:pPr>
              <w:spacing w:line="254" w:lineRule="auto"/>
              <w:ind w:left="630" w:right="20" w:hanging="611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科研</w:t>
            </w:r>
            <w:r>
              <w:rPr>
                <w:rFonts w:ascii="仿宋" w:eastAsia="仿宋" w:hAnsi="仿宋" w:cs="宋体"/>
                <w:spacing w:val="-11"/>
                <w:sz w:val="24"/>
              </w:rPr>
              <w:t>能力</w:t>
            </w:r>
          </w:p>
          <w:p w:rsidR="00AA2E1C" w:rsidRDefault="00AA2E1C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 w:hint="eastAsia"/>
                <w:szCs w:val="20"/>
              </w:rPr>
              <w:t>（</w:t>
            </w:r>
            <w:r>
              <w:rPr>
                <w:rFonts w:ascii="仿宋" w:eastAsia="仿宋" w:hAnsi="仿宋" w:cs="宋体"/>
                <w:szCs w:val="20"/>
              </w:rPr>
              <w:t>100</w:t>
            </w:r>
            <w:r>
              <w:rPr>
                <w:rFonts w:ascii="仿宋" w:eastAsia="仿宋" w:hAnsi="仿宋" w:cs="宋体" w:hint="eastAsia"/>
                <w:szCs w:val="20"/>
              </w:rPr>
              <w:t>分）</w:t>
            </w:r>
          </w:p>
        </w:tc>
        <w:tc>
          <w:tcPr>
            <w:tcW w:w="3268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93" w:lineRule="auto"/>
              <w:ind w:right="2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论文体现的理论基础的扎实程度</w:t>
            </w:r>
            <w:r>
              <w:rPr>
                <w:rFonts w:ascii="仿宋" w:eastAsia="仿宋" w:hAnsi="仿宋" w:cs="宋体"/>
                <w:sz w:val="24"/>
              </w:rPr>
              <w:t>；本学科及</w:t>
            </w:r>
            <w:r>
              <w:rPr>
                <w:rFonts w:ascii="仿宋" w:eastAsia="仿宋" w:hAnsi="仿宋" w:cs="宋体"/>
                <w:spacing w:val="-1"/>
                <w:sz w:val="24"/>
              </w:rPr>
              <w:t>相关学科领域专门知识的系统</w:t>
            </w:r>
            <w:r>
              <w:rPr>
                <w:rFonts w:ascii="仿宋" w:eastAsia="仿宋" w:hAnsi="仿宋" w:cs="宋体"/>
                <w:sz w:val="24"/>
              </w:rPr>
              <w:t xml:space="preserve">性；分析问题 </w:t>
            </w:r>
            <w:r>
              <w:rPr>
                <w:rFonts w:ascii="仿宋" w:eastAsia="仿宋" w:hAnsi="仿宋" w:cs="宋体"/>
                <w:spacing w:val="-1"/>
                <w:sz w:val="24"/>
              </w:rPr>
              <w:t>、解决问题的能力；研究方法</w:t>
            </w:r>
            <w:r>
              <w:rPr>
                <w:rFonts w:ascii="仿宋" w:eastAsia="仿宋" w:hAnsi="仿宋" w:cs="宋体"/>
                <w:sz w:val="24"/>
              </w:rPr>
              <w:t>的科学性，是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否采用先进技术</w:t>
            </w:r>
            <w:r>
              <w:rPr>
                <w:rFonts w:ascii="仿宋" w:eastAsia="仿宋" w:hAnsi="仿宋" w:cs="宋体"/>
                <w:sz w:val="24"/>
              </w:rPr>
              <w:t>进行论文研</w:t>
            </w:r>
            <w:r>
              <w:rPr>
                <w:rFonts w:ascii="仿宋" w:eastAsia="仿宋" w:hAnsi="仿宋" w:cs="宋体"/>
                <w:spacing w:val="-5"/>
                <w:sz w:val="24"/>
              </w:rPr>
              <w:t>究</w:t>
            </w:r>
            <w:r>
              <w:rPr>
                <w:rFonts w:ascii="仿宋" w:eastAsia="仿宋" w:hAnsi="仿宋" w:cs="宋体"/>
                <w:spacing w:val="-4"/>
                <w:sz w:val="24"/>
              </w:rPr>
              <w:t>工作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。</w:t>
            </w:r>
          </w:p>
        </w:tc>
        <w:tc>
          <w:tcPr>
            <w:tcW w:w="729" w:type="pct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1264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20" w:lineRule="auto"/>
              <w:ind w:left="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论文</w:t>
            </w:r>
            <w:r>
              <w:rPr>
                <w:rFonts w:ascii="仿宋" w:eastAsia="仿宋" w:hAnsi="仿宋" w:cs="宋体"/>
                <w:spacing w:val="-2"/>
                <w:sz w:val="24"/>
              </w:rPr>
              <w:t>规范性</w:t>
            </w:r>
          </w:p>
          <w:p w:rsidR="00AA2E1C" w:rsidRDefault="00AA2E1C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 w:hint="eastAsia"/>
                <w:szCs w:val="20"/>
              </w:rPr>
              <w:t>（</w:t>
            </w:r>
            <w:r>
              <w:rPr>
                <w:rFonts w:ascii="仿宋" w:eastAsia="仿宋" w:hAnsi="仿宋" w:cs="宋体"/>
                <w:szCs w:val="20"/>
              </w:rPr>
              <w:t>100</w:t>
            </w:r>
            <w:r>
              <w:rPr>
                <w:rFonts w:ascii="仿宋" w:eastAsia="仿宋" w:hAnsi="仿宋" w:cs="宋体" w:hint="eastAsia"/>
                <w:szCs w:val="20"/>
              </w:rPr>
              <w:t>分）</w:t>
            </w:r>
          </w:p>
        </w:tc>
        <w:tc>
          <w:tcPr>
            <w:tcW w:w="3268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66" w:lineRule="auto"/>
              <w:ind w:left="21" w:right="20" w:firstLine="14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/>
                <w:spacing w:val="-2"/>
                <w:sz w:val="24"/>
              </w:rPr>
              <w:t>引文规范性</w:t>
            </w:r>
            <w:r>
              <w:rPr>
                <w:rFonts w:ascii="仿宋" w:eastAsia="仿宋" w:hAnsi="仿宋" w:cs="宋体"/>
                <w:spacing w:val="-1"/>
                <w:sz w:val="24"/>
              </w:rPr>
              <w:t>，学风严谨性；论文语言表达的准确性，逻辑的严密</w:t>
            </w:r>
            <w:r>
              <w:rPr>
                <w:rFonts w:ascii="仿宋" w:eastAsia="仿宋" w:hAnsi="仿宋" w:cs="宋体"/>
                <w:sz w:val="24"/>
              </w:rPr>
              <w:t>性；论文结构的合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理性，书写格式及图表的</w:t>
            </w:r>
            <w:r>
              <w:rPr>
                <w:rFonts w:ascii="仿宋" w:eastAsia="仿宋" w:hAnsi="仿宋" w:cs="宋体"/>
                <w:sz w:val="24"/>
              </w:rPr>
              <w:t>规范性</w:t>
            </w:r>
            <w:r>
              <w:rPr>
                <w:rFonts w:ascii="仿宋" w:eastAsia="仿宋" w:hAnsi="仿宋" w:cs="宋体" w:hint="eastAsia"/>
                <w:sz w:val="24"/>
              </w:rPr>
              <w:t>。</w:t>
            </w:r>
          </w:p>
        </w:tc>
        <w:tc>
          <w:tcPr>
            <w:tcW w:w="729" w:type="pct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2867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line="219" w:lineRule="auto"/>
              <w:jc w:val="center"/>
              <w:rPr>
                <w:rFonts w:ascii="仿宋" w:eastAsia="仿宋" w:hAnsi="仿宋" w:cs="宋体"/>
                <w:spacing w:val="-10"/>
                <w:sz w:val="24"/>
              </w:rPr>
            </w:pPr>
            <w:r>
              <w:rPr>
                <w:rFonts w:ascii="仿宋" w:eastAsia="仿宋" w:hAnsi="仿宋" w:cs="宋体" w:hint="eastAsia"/>
                <w:spacing w:val="-10"/>
                <w:sz w:val="24"/>
              </w:rPr>
              <w:t>评语</w:t>
            </w:r>
          </w:p>
        </w:tc>
        <w:tc>
          <w:tcPr>
            <w:tcW w:w="399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AA2E1C" w:rsidTr="00A44AAA">
        <w:trPr>
          <w:trHeight w:val="1375"/>
        </w:trPr>
        <w:tc>
          <w:tcPr>
            <w:tcW w:w="100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2E1C" w:rsidRDefault="00AA2E1C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pacing w:val="-2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是否</w:t>
            </w:r>
            <w:r>
              <w:rPr>
                <w:rFonts w:ascii="仿宋" w:eastAsia="仿宋" w:hAnsi="仿宋" w:cs="宋体"/>
                <w:spacing w:val="-3"/>
                <w:sz w:val="24"/>
              </w:rPr>
              <w:t>同</w:t>
            </w:r>
            <w:r>
              <w:rPr>
                <w:rFonts w:ascii="仿宋" w:eastAsia="仿宋" w:hAnsi="仿宋" w:cs="宋体"/>
                <w:spacing w:val="-2"/>
                <w:sz w:val="24"/>
              </w:rPr>
              <w:t>意</w:t>
            </w:r>
          </w:p>
          <w:p w:rsidR="00AA2E1C" w:rsidRDefault="00AA2E1C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pacing w:val="-2"/>
                <w:sz w:val="24"/>
              </w:rPr>
              <w:t>送审与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答辩</w:t>
            </w:r>
          </w:p>
        </w:tc>
        <w:tc>
          <w:tcPr>
            <w:tcW w:w="399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AA2E1C" w:rsidRDefault="00AA2E1C" w:rsidP="00A44AAA">
            <w:pPr>
              <w:spacing w:before="20" w:line="219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AA2E1C" w:rsidRDefault="00AA2E1C" w:rsidP="00A44AAA">
            <w:pPr>
              <w:spacing w:before="20" w:line="219" w:lineRule="auto"/>
              <w:ind w:left="20" w:firstLineChars="1800" w:firstLine="43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7.45pt;margin-top:5.8pt;width:175.8pt;height:24pt;z-index:251660288" o:gfxdata="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iAr39UAAAAIAQAADwAAAAAAAAABACAAAAAiAAAAZHJz&#10;L2Rvd25yZXYueG1sUEsBAhQAFAAAAAgAh07iQJifB3nOAQAAjgMAAA4AAAAAAAAAAQAgAAAAJAEA&#10;AGRycy9lMm9Eb2MueG1sUEsFBgAAAAAGAAYAWQEAAGQFAAAAAA==&#10;" stroked="f" strokeweight=".5pt">
                  <v:textbox>
                    <w:txbxContent>
                      <w:p w:rsidR="00AA2E1C" w:rsidRDefault="00AA2E1C" w:rsidP="00AA2E1C">
                        <w:pPr>
                          <w:jc w:val="center"/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 xml:space="preserve">□同意 </w:t>
                        </w:r>
                        <w:r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>□不同意</w:t>
                        </w:r>
                      </w:p>
                      <w:p w:rsidR="00AA2E1C" w:rsidRDefault="00AA2E1C" w:rsidP="00AA2E1C"/>
                    </w:txbxContent>
                  </v:textbox>
                </v:shape>
              </w:pic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</w:p>
          <w:p w:rsidR="00AA2E1C" w:rsidRDefault="00AA2E1C" w:rsidP="00A44AAA">
            <w:pPr>
              <w:spacing w:before="20" w:line="219" w:lineRule="auto"/>
              <w:ind w:left="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日期：</w:t>
            </w:r>
          </w:p>
          <w:p w:rsidR="00AA2E1C" w:rsidRDefault="00AA2E1C" w:rsidP="00A44AAA">
            <w:pPr>
              <w:rPr>
                <w:rFonts w:ascii="仿宋" w:eastAsia="仿宋" w:hAnsi="仿宋"/>
                <w:szCs w:val="20"/>
              </w:rPr>
            </w:pPr>
          </w:p>
        </w:tc>
      </w:tr>
    </w:tbl>
    <w:p w:rsidR="00AA2E1C" w:rsidRDefault="00AA2E1C" w:rsidP="00AA2E1C">
      <w:pPr>
        <w:spacing w:before="137" w:line="219" w:lineRule="auto"/>
        <w:jc w:val="left"/>
        <w:rPr>
          <w:rFonts w:ascii="仿宋" w:eastAsia="仿宋" w:hAnsi="仿宋" w:cs="宋体"/>
          <w:spacing w:val="2"/>
          <w:sz w:val="24"/>
          <w:szCs w:val="30"/>
        </w:rPr>
      </w:pPr>
      <w:r>
        <w:rPr>
          <w:rFonts w:ascii="仿宋" w:eastAsia="仿宋" w:hAnsi="仿宋" w:cs="宋体" w:hint="eastAsia"/>
          <w:spacing w:val="2"/>
          <w:sz w:val="24"/>
          <w:szCs w:val="30"/>
        </w:rPr>
        <w:t>注:评价表中有任何一项评</w:t>
      </w:r>
      <w:r>
        <w:rPr>
          <w:rFonts w:ascii="仿宋" w:eastAsia="仿宋" w:hAnsi="仿宋" w:cs="宋体"/>
          <w:spacing w:val="2"/>
          <w:sz w:val="24"/>
          <w:szCs w:val="30"/>
        </w:rPr>
        <w:t>价指标低于60分</w:t>
      </w:r>
      <w:r>
        <w:rPr>
          <w:rFonts w:ascii="仿宋" w:eastAsia="仿宋" w:hAnsi="仿宋" w:cs="宋体" w:hint="eastAsia"/>
          <w:spacing w:val="2"/>
          <w:sz w:val="24"/>
          <w:szCs w:val="30"/>
        </w:rPr>
        <w:t>均需重新评审</w:t>
      </w:r>
    </w:p>
    <w:p w:rsidR="00B302D8" w:rsidRPr="00AA2E1C" w:rsidRDefault="00B302D8"/>
    <w:sectPr w:rsidR="00B302D8" w:rsidRPr="00AA2E1C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8BB" w:rsidRDefault="005648BB" w:rsidP="00AA2E1C">
      <w:r>
        <w:separator/>
      </w:r>
    </w:p>
  </w:endnote>
  <w:endnote w:type="continuationSeparator" w:id="0">
    <w:p w:rsidR="005648BB" w:rsidRDefault="005648BB" w:rsidP="00AA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8BB" w:rsidRDefault="005648BB" w:rsidP="00AA2E1C">
      <w:r>
        <w:separator/>
      </w:r>
    </w:p>
  </w:footnote>
  <w:footnote w:type="continuationSeparator" w:id="0">
    <w:p w:rsidR="005648BB" w:rsidRDefault="005648BB" w:rsidP="00AA2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E1C"/>
    <w:rsid w:val="00055C07"/>
    <w:rsid w:val="00174048"/>
    <w:rsid w:val="005648BB"/>
    <w:rsid w:val="00AA2E1C"/>
    <w:rsid w:val="00B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E1C"/>
    <w:rPr>
      <w:sz w:val="18"/>
      <w:szCs w:val="18"/>
    </w:rPr>
  </w:style>
  <w:style w:type="table" w:customStyle="1" w:styleId="TableNormal1">
    <w:name w:val="Table Normal1"/>
    <w:autoRedefine/>
    <w:semiHidden/>
    <w:unhideWhenUsed/>
    <w:qFormat/>
    <w:rsid w:val="00AA2E1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2024-04-03T10:47:00Z</dcterms:created>
  <dcterms:modified xsi:type="dcterms:W3CDTF">2024-04-03T10:48:00Z</dcterms:modified>
</cp:coreProperties>
</file>